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52" w:rsidRDefault="00663A52" w:rsidP="00663A52">
      <w:pPr>
        <w:contextualSpacing/>
        <w:rPr>
          <w:rFonts w:ascii="Palatino Linotype" w:hAnsi="Palatino Linotype"/>
          <w:b/>
          <w:color w:val="FF0000"/>
          <w:sz w:val="28"/>
          <w:szCs w:val="28"/>
        </w:rPr>
      </w:pPr>
      <w:r>
        <w:rPr>
          <w:rFonts w:ascii="Palatino Linotype" w:hAnsi="Palatino Linotype"/>
          <w:i/>
          <w:noProof/>
          <w:lang w:eastAsia="fr-FR"/>
        </w:rPr>
        <w:drawing>
          <wp:inline distT="0" distB="0" distL="0" distR="0" wp14:anchorId="598215E0" wp14:editId="6E8E1235">
            <wp:extent cx="777240" cy="1033145"/>
            <wp:effectExtent l="0" t="0" r="3810" b="0"/>
            <wp:docPr id="1" name="Image 2" descr="Macintosh HD:Users:moreaus:Desktop:Docs Pratiques Ecole:ecole_ponts_RV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moreaus:Desktop:Docs Pratiques Ecole:ecole_ponts_RVB3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 cy="1033145"/>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5B5D614E" wp14:editId="286AD676">
            <wp:extent cx="2048510" cy="448310"/>
            <wp:effectExtent l="0" t="0" r="8890" b="8890"/>
            <wp:docPr id="3" name="Image 3" descr="Fondation Ren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ation Rena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8510" cy="448310"/>
                    </a:xfrm>
                    <a:prstGeom prst="rect">
                      <a:avLst/>
                    </a:prstGeom>
                    <a:noFill/>
                    <a:ln>
                      <a:noFill/>
                    </a:ln>
                  </pic:spPr>
                </pic:pic>
              </a:graphicData>
            </a:graphic>
          </wp:inline>
        </w:drawing>
      </w:r>
    </w:p>
    <w:p w:rsidR="00663A52" w:rsidRDefault="00663A52" w:rsidP="00663A52">
      <w:pPr>
        <w:contextualSpacing/>
        <w:jc w:val="center"/>
        <w:rPr>
          <w:rFonts w:ascii="Palatino Linotype" w:hAnsi="Palatino Linotype"/>
          <w:b/>
          <w:color w:val="FF0000"/>
          <w:sz w:val="28"/>
          <w:szCs w:val="28"/>
        </w:rPr>
      </w:pPr>
      <w:r>
        <w:rPr>
          <w:noProof/>
          <w:lang w:eastAsia="fr-FR"/>
        </w:rPr>
        <w:t xml:space="preserve">                                                                                                                     </w:t>
      </w:r>
    </w:p>
    <w:p w:rsidR="00663A52" w:rsidRPr="00336391" w:rsidRDefault="00336391" w:rsidP="00663A52">
      <w:pPr>
        <w:jc w:val="center"/>
        <w:rPr>
          <w:rFonts w:ascii="Palatino Linotype" w:hAnsi="Palatino Linotype"/>
          <w:sz w:val="32"/>
          <w:szCs w:val="32"/>
        </w:rPr>
      </w:pPr>
      <w:r w:rsidRPr="00336391">
        <w:rPr>
          <w:rFonts w:ascii="Palatino Linotype" w:hAnsi="Palatino Linotype"/>
          <w:sz w:val="32"/>
          <w:szCs w:val="32"/>
        </w:rPr>
        <w:t xml:space="preserve">MOOC </w:t>
      </w:r>
      <w:r w:rsidR="00663A52" w:rsidRPr="00336391">
        <w:rPr>
          <w:rFonts w:ascii="Palatino Linotype" w:hAnsi="Palatino Linotype"/>
          <w:sz w:val="32"/>
          <w:szCs w:val="32"/>
        </w:rPr>
        <w:t>Mob</w:t>
      </w:r>
      <w:r>
        <w:rPr>
          <w:rFonts w:ascii="Palatino Linotype" w:hAnsi="Palatino Linotype"/>
          <w:sz w:val="32"/>
          <w:szCs w:val="32"/>
        </w:rPr>
        <w:t>ilités et véhicules électriques</w:t>
      </w:r>
      <w:r w:rsidR="00663A52" w:rsidRPr="00336391">
        <w:rPr>
          <w:rFonts w:ascii="Palatino Linotype" w:hAnsi="Palatino Linotype"/>
          <w:sz w:val="32"/>
          <w:szCs w:val="32"/>
        </w:rPr>
        <w:t xml:space="preserve"> </w:t>
      </w:r>
    </w:p>
    <w:p w:rsidR="00663A52" w:rsidRPr="00336391" w:rsidRDefault="00663A52" w:rsidP="00663A52">
      <w:pPr>
        <w:jc w:val="center"/>
        <w:rPr>
          <w:rFonts w:ascii="Palatino Linotype" w:hAnsi="Palatino Linotype"/>
          <w:sz w:val="32"/>
          <w:szCs w:val="32"/>
        </w:rPr>
      </w:pPr>
      <w:proofErr w:type="gramStart"/>
      <w:r w:rsidRPr="00336391">
        <w:rPr>
          <w:rFonts w:ascii="Palatino Linotype" w:hAnsi="Palatino Linotype"/>
          <w:sz w:val="32"/>
          <w:szCs w:val="32"/>
        </w:rPr>
        <w:t>un</w:t>
      </w:r>
      <w:proofErr w:type="gramEnd"/>
      <w:r w:rsidRPr="00336391">
        <w:rPr>
          <w:rFonts w:ascii="Palatino Linotype" w:hAnsi="Palatino Linotype"/>
          <w:sz w:val="32"/>
          <w:szCs w:val="32"/>
        </w:rPr>
        <w:t xml:space="preserve"> MOOC de l’École des Ponts ParisTech </w:t>
      </w:r>
      <w:r w:rsidR="00336391">
        <w:rPr>
          <w:rFonts w:ascii="Palatino Linotype" w:hAnsi="Palatino Linotype"/>
          <w:sz w:val="32"/>
          <w:szCs w:val="32"/>
        </w:rPr>
        <w:t xml:space="preserve">                                        </w:t>
      </w:r>
      <w:r w:rsidRPr="00336391">
        <w:rPr>
          <w:rFonts w:ascii="Palatino Linotype" w:hAnsi="Palatino Linotype"/>
          <w:sz w:val="32"/>
          <w:szCs w:val="32"/>
        </w:rPr>
        <w:t>en partenariat avec le Groupe Renault</w:t>
      </w:r>
    </w:p>
    <w:p w:rsidR="00663A52" w:rsidRDefault="00663A52" w:rsidP="00663A52">
      <w:pPr>
        <w:spacing w:after="0" w:line="240" w:lineRule="auto"/>
        <w:contextualSpacing/>
        <w:jc w:val="both"/>
        <w:rPr>
          <w:rFonts w:ascii="Palatino Linotype" w:hAnsi="Palatino Linotype"/>
        </w:rPr>
      </w:pPr>
    </w:p>
    <w:tbl>
      <w:tblPr>
        <w:tblStyle w:val="Grilledutableau"/>
        <w:tblW w:w="8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77"/>
      </w:tblGrid>
      <w:tr w:rsidR="00663A52" w:rsidTr="00636AA9">
        <w:trPr>
          <w:jc w:val="center"/>
        </w:trPr>
        <w:tc>
          <w:tcPr>
            <w:tcW w:w="4456" w:type="dxa"/>
          </w:tcPr>
          <w:p w:rsidR="00663A52" w:rsidRDefault="00663A52" w:rsidP="00636AA9">
            <w:pPr>
              <w:contextualSpacing/>
              <w:jc w:val="both"/>
              <w:rPr>
                <w:rFonts w:ascii="Palatino Linotype" w:hAnsi="Palatino Linotype"/>
              </w:rPr>
            </w:pPr>
            <w:r>
              <w:rPr>
                <w:rFonts w:ascii="Palatino Linotype" w:hAnsi="Palatino Linotype"/>
                <w:noProof/>
              </w:rPr>
              <w:drawing>
                <wp:anchor distT="0" distB="0" distL="114300" distR="114300" simplePos="0" relativeHeight="251659264" behindDoc="0" locked="0" layoutInCell="1" allowOverlap="1" wp14:anchorId="25B240A4" wp14:editId="426689E7">
                  <wp:simplePos x="0" y="0"/>
                  <wp:positionH relativeFrom="column">
                    <wp:posOffset>-6985</wp:posOffset>
                  </wp:positionH>
                  <wp:positionV relativeFrom="paragraph">
                    <wp:posOffset>299720</wp:posOffset>
                  </wp:positionV>
                  <wp:extent cx="2684145" cy="695960"/>
                  <wp:effectExtent l="0" t="0" r="825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7-10-27 à 16.28.3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4145" cy="695960"/>
                          </a:xfrm>
                          <a:prstGeom prst="rect">
                            <a:avLst/>
                          </a:prstGeom>
                        </pic:spPr>
                      </pic:pic>
                    </a:graphicData>
                  </a:graphic>
                  <wp14:sizeRelH relativeFrom="page">
                    <wp14:pctWidth>0</wp14:pctWidth>
                  </wp14:sizeRelH>
                  <wp14:sizeRelV relativeFrom="page">
                    <wp14:pctHeight>0</wp14:pctHeight>
                  </wp14:sizeRelV>
                </wp:anchor>
              </w:drawing>
            </w:r>
          </w:p>
        </w:tc>
        <w:tc>
          <w:tcPr>
            <w:tcW w:w="4377" w:type="dxa"/>
          </w:tcPr>
          <w:p w:rsidR="00663A52" w:rsidRDefault="00663A52" w:rsidP="00636AA9">
            <w:pPr>
              <w:contextualSpacing/>
              <w:jc w:val="both"/>
              <w:rPr>
                <w:rFonts w:ascii="Palatino Linotype" w:hAnsi="Palatino Linotype"/>
              </w:rPr>
            </w:pPr>
            <w:r>
              <w:rPr>
                <w:rFonts w:ascii="Palatino Linotype" w:hAnsi="Palatino Linotype"/>
                <w:noProof/>
              </w:rPr>
              <w:drawing>
                <wp:inline distT="0" distB="0" distL="0" distR="0" wp14:anchorId="72C530D7" wp14:editId="11EFA4B7">
                  <wp:extent cx="2642857" cy="13284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7-10-27 à 16.29.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620" cy="1332825"/>
                          </a:xfrm>
                          <a:prstGeom prst="rect">
                            <a:avLst/>
                          </a:prstGeom>
                        </pic:spPr>
                      </pic:pic>
                    </a:graphicData>
                  </a:graphic>
                </wp:inline>
              </w:drawing>
            </w:r>
          </w:p>
        </w:tc>
      </w:tr>
    </w:tbl>
    <w:p w:rsidR="00663A52" w:rsidRPr="00663A52" w:rsidRDefault="00663A52" w:rsidP="00663A52">
      <w:pPr>
        <w:contextualSpacing/>
        <w:jc w:val="center"/>
        <w:rPr>
          <w:rFonts w:ascii="Palatino Linotype" w:hAnsi="Palatino Linotype"/>
          <w:b/>
          <w:sz w:val="16"/>
          <w:szCs w:val="16"/>
        </w:rPr>
      </w:pPr>
    </w:p>
    <w:p w:rsidR="00336391" w:rsidRDefault="00336391" w:rsidP="00336391">
      <w:pPr>
        <w:contextualSpacing/>
        <w:jc w:val="both"/>
        <w:rPr>
          <w:rFonts w:ascii="Palatino Linotype" w:hAnsi="Palatino Linotype"/>
          <w:b/>
          <w:i/>
          <w:color w:val="000000" w:themeColor="text1"/>
        </w:rPr>
      </w:pPr>
      <w:r w:rsidRPr="005B4598">
        <w:rPr>
          <w:rFonts w:ascii="Palatino Linotype" w:hAnsi="Palatino Linotype"/>
          <w:b/>
          <w:i/>
          <w:color w:val="000000" w:themeColor="text1"/>
        </w:rPr>
        <w:t>L’École des Ponts Paris</w:t>
      </w:r>
      <w:r>
        <w:rPr>
          <w:rFonts w:ascii="Palatino Linotype" w:hAnsi="Palatino Linotype"/>
          <w:b/>
          <w:i/>
          <w:color w:val="000000" w:themeColor="text1"/>
        </w:rPr>
        <w:t>Tech et la Fondation d’entreprise du Groupe Renault se sont associés pour proposer un nouveau MOOC « </w:t>
      </w:r>
      <w:r w:rsidRPr="0006485B">
        <w:rPr>
          <w:rFonts w:ascii="Palatino Linotype" w:hAnsi="Palatino Linotype"/>
          <w:b/>
          <w:i/>
          <w:color w:val="000000" w:themeColor="text1"/>
        </w:rPr>
        <w:t>Mobilités et véhicules électriques</w:t>
      </w:r>
      <w:r>
        <w:rPr>
          <w:rFonts w:ascii="Palatino Linotype" w:hAnsi="Palatino Linotype"/>
          <w:b/>
          <w:i/>
          <w:color w:val="000000" w:themeColor="text1"/>
        </w:rPr>
        <w:t> </w:t>
      </w:r>
      <w:r w:rsidRPr="0006485B">
        <w:rPr>
          <w:rFonts w:ascii="Palatino Linotype" w:hAnsi="Palatino Linotype"/>
          <w:b/>
          <w:i/>
          <w:color w:val="000000" w:themeColor="text1"/>
        </w:rPr>
        <w:t>»</w:t>
      </w:r>
      <w:r>
        <w:rPr>
          <w:rFonts w:ascii="Palatino Linotype" w:hAnsi="Palatino Linotype"/>
          <w:b/>
          <w:i/>
          <w:color w:val="000000" w:themeColor="text1"/>
        </w:rPr>
        <w:t xml:space="preserve">. Ouvert au grand public, il est disponible gratuitement sur la plateforme Coursera. Il a pour objectif de comprendre les enjeux de la mobilité durable, de dresser un état des lieux des mobilités électriques et d’esquisser un panorama prospectif quant à leur déploiement. Il est le seul MOOC qui traite du rôle des véhicules électriques dans l’émergence de mobilités durables. </w:t>
      </w:r>
    </w:p>
    <w:p w:rsidR="00336391" w:rsidRDefault="00336391" w:rsidP="00336391">
      <w:pPr>
        <w:contextualSpacing/>
        <w:jc w:val="both"/>
        <w:rPr>
          <w:rFonts w:ascii="Palatino Linotype" w:hAnsi="Palatino Linotype"/>
          <w:b/>
          <w:i/>
          <w:color w:val="000000" w:themeColor="text1"/>
        </w:rPr>
      </w:pPr>
    </w:p>
    <w:p w:rsidR="00336391" w:rsidRDefault="00336391" w:rsidP="00336391">
      <w:pPr>
        <w:contextualSpacing/>
        <w:jc w:val="both"/>
        <w:rPr>
          <w:rFonts w:ascii="Palatino Linotype" w:hAnsi="Palatino Linotype"/>
          <w:b/>
          <w:i/>
          <w:color w:val="000000" w:themeColor="text1"/>
        </w:rPr>
      </w:pPr>
    </w:p>
    <w:p w:rsidR="00336391" w:rsidRPr="00591DC7" w:rsidRDefault="00336391" w:rsidP="00336391">
      <w:pPr>
        <w:contextualSpacing/>
        <w:jc w:val="both"/>
        <w:rPr>
          <w:rFonts w:ascii="Palatino Linotype" w:hAnsi="Palatino Linotype"/>
        </w:rPr>
      </w:pPr>
      <w:r>
        <w:rPr>
          <w:rFonts w:ascii="Palatino Linotype" w:hAnsi="Palatino Linotype"/>
          <w:b/>
          <w:color w:val="000000" w:themeColor="text1"/>
        </w:rPr>
        <w:t>Un nouvel outil au service d’une question sociétale</w:t>
      </w:r>
    </w:p>
    <w:p w:rsidR="00336391" w:rsidRDefault="00336391" w:rsidP="00336391">
      <w:pPr>
        <w:jc w:val="both"/>
        <w:rPr>
          <w:rFonts w:ascii="Palatino Linotype" w:hAnsi="Palatino Linotype"/>
        </w:rPr>
      </w:pPr>
    </w:p>
    <w:p w:rsidR="00336391" w:rsidRPr="00336391" w:rsidRDefault="00336391" w:rsidP="00336391">
      <w:pPr>
        <w:jc w:val="both"/>
        <w:rPr>
          <w:rFonts w:ascii="Palatino Linotype" w:hAnsi="Palatino Linotype"/>
        </w:rPr>
      </w:pPr>
      <w:r w:rsidRPr="00336391">
        <w:rPr>
          <w:rFonts w:ascii="Palatino Linotype" w:hAnsi="Palatino Linotype"/>
        </w:rPr>
        <w:t>Ce MOOC a pour objectif d’aider ses apprenants, quel que soit leur profil, leur formation ou leur pays d’origine, à construire une réponse personnelle à des questions comme celles-ci : les voitures électriques seront-elles les dernières à circuler dans les métropoles du XXIe siècle ? Le gain environnemental associé à l’électrification des véhicules justifie-t-il des investissements massifs dans les infrastructures de recharge ? Le véhicule électrique est-il réservé aux riches des pays du Nord ?</w:t>
      </w:r>
    </w:p>
    <w:p w:rsidR="00336391" w:rsidRPr="00663A52" w:rsidRDefault="00336391" w:rsidP="00336391">
      <w:pPr>
        <w:jc w:val="both"/>
        <w:rPr>
          <w:rFonts w:ascii="Palatino Linotype" w:hAnsi="Palatino Linotype"/>
        </w:rPr>
      </w:pPr>
      <w:r w:rsidRPr="00663A52">
        <w:rPr>
          <w:rFonts w:ascii="Palatino Linotype" w:hAnsi="Palatino Linotype"/>
        </w:rPr>
        <w:t xml:space="preserve">Grâce à ce MOOC, les participants pourront acquérir des connaissances issues des sciences de l’ingénieur, de la sociologie, des sciences de l’environnement, de l’économie, de la géographie et des sciences politiques pour évaluer, analyser et mettre en œuvre le déploiement des véhicules électriques là où il est pertinent. </w:t>
      </w:r>
    </w:p>
    <w:p w:rsidR="00336391" w:rsidRPr="00663A52" w:rsidRDefault="00336391" w:rsidP="00336391">
      <w:pPr>
        <w:jc w:val="both"/>
        <w:rPr>
          <w:rFonts w:ascii="Palatino Linotype" w:hAnsi="Palatino Linotype"/>
        </w:rPr>
      </w:pPr>
      <w:r w:rsidRPr="00663A52">
        <w:rPr>
          <w:rFonts w:ascii="Palatino Linotype" w:hAnsi="Palatino Linotype"/>
        </w:rPr>
        <w:t>Il n’est pas nécessaire d’être ingénieur, géographe, sociologue ou économiste pour suivre ce MOOC : il suffit juste d’avoir envie d’apprendre comment ces sciences éclairent le débat.</w:t>
      </w:r>
    </w:p>
    <w:p w:rsidR="00336391" w:rsidRDefault="00336391">
      <w:pPr>
        <w:rPr>
          <w:rFonts w:ascii="Palatino Linotype" w:hAnsi="Palatino Linotype"/>
        </w:rPr>
      </w:pPr>
      <w:r>
        <w:rPr>
          <w:rFonts w:ascii="Palatino Linotype" w:hAnsi="Palatino Linotype"/>
        </w:rPr>
        <w:br w:type="page"/>
      </w:r>
    </w:p>
    <w:p w:rsidR="00336391" w:rsidRDefault="00336391" w:rsidP="00336391">
      <w:pPr>
        <w:jc w:val="both"/>
        <w:rPr>
          <w:rFonts w:ascii="Palatino Linotype" w:hAnsi="Palatino Linotype"/>
        </w:rPr>
      </w:pPr>
    </w:p>
    <w:p w:rsidR="00336391" w:rsidRDefault="00336391" w:rsidP="00336391">
      <w:pPr>
        <w:jc w:val="both"/>
        <w:rPr>
          <w:rFonts w:ascii="Palatino Linotype" w:hAnsi="Palatino Linotype"/>
        </w:rPr>
      </w:pPr>
    </w:p>
    <w:p w:rsidR="00336391" w:rsidRDefault="00336391" w:rsidP="00336391">
      <w:pPr>
        <w:jc w:val="both"/>
        <w:rPr>
          <w:rFonts w:ascii="Palatino Linotype" w:hAnsi="Palatino Linotype"/>
        </w:rPr>
      </w:pPr>
    </w:p>
    <w:p w:rsidR="00336391" w:rsidRPr="00663A52" w:rsidRDefault="00336391" w:rsidP="00336391">
      <w:pPr>
        <w:jc w:val="both"/>
        <w:rPr>
          <w:rFonts w:ascii="Palatino Linotype" w:hAnsi="Palatino Linotype"/>
        </w:rPr>
      </w:pPr>
      <w:bookmarkStart w:id="0" w:name="_GoBack"/>
      <w:bookmarkEnd w:id="0"/>
      <w:r w:rsidRPr="00663A52">
        <w:rPr>
          <w:rFonts w:ascii="Palatino Linotype" w:hAnsi="Palatino Linotype"/>
        </w:rPr>
        <w:t xml:space="preserve">L’ensemble de l’écosystème de l’École des Ponts ParisTech s’est mobilisé pour que le projet aboutisse. Près de 30 experts issus des laboratoires de l’école (LVMT, </w:t>
      </w:r>
      <w:proofErr w:type="spellStart"/>
      <w:r w:rsidRPr="00663A52">
        <w:rPr>
          <w:rFonts w:ascii="Palatino Linotype" w:hAnsi="Palatino Linotype"/>
        </w:rPr>
        <w:t>Cired</w:t>
      </w:r>
      <w:proofErr w:type="spellEnd"/>
      <w:r w:rsidRPr="00663A52">
        <w:rPr>
          <w:rFonts w:ascii="Palatino Linotype" w:hAnsi="Palatino Linotype"/>
        </w:rPr>
        <w:t>), de ses partenaires académiques (IFSTTAR, Arts et Métiers ParisTech, Polytechnique, IFPEN), institutionnels (AVERE, AFD) ou industriels (Groupe Renault, SNCF) ont apporté leurs compétences pour que chacun forme son propre jugement sur les mobilités électriques.</w:t>
      </w:r>
    </w:p>
    <w:p w:rsidR="00336391" w:rsidRPr="00336391" w:rsidRDefault="00336391" w:rsidP="00336391">
      <w:pPr>
        <w:contextualSpacing/>
        <w:jc w:val="both"/>
        <w:rPr>
          <w:rFonts w:ascii="Palatino Linotype" w:hAnsi="Palatino Linotype"/>
        </w:rPr>
      </w:pPr>
      <w:r w:rsidRPr="00336391">
        <w:rPr>
          <w:rFonts w:ascii="Palatino Linotype" w:hAnsi="Palatino Linotype"/>
        </w:rPr>
        <w:t xml:space="preserve">Il compte 8 chapitres comprenant chacun des vidéos de cours d’une dizaine de minutes, des « points méthodes » ludiques, des « le saviez-vous ? » synthétisant l’information ainsi que des points de vue d’experts issus de Renault ou d’autres partenaires. </w:t>
      </w:r>
    </w:p>
    <w:p w:rsidR="00336391" w:rsidRPr="00336391" w:rsidRDefault="00336391" w:rsidP="00336391">
      <w:pPr>
        <w:contextualSpacing/>
        <w:jc w:val="both"/>
        <w:rPr>
          <w:rFonts w:ascii="Palatino Linotype" w:hAnsi="Palatino Linotype"/>
        </w:rPr>
      </w:pPr>
    </w:p>
    <w:p w:rsidR="00336391" w:rsidRPr="00646F1C" w:rsidRDefault="00336391" w:rsidP="00663A52">
      <w:pPr>
        <w:jc w:val="both"/>
        <w:rPr>
          <w:rFonts w:ascii="Palatino Linotype" w:hAnsi="Palatino Linotype"/>
        </w:rPr>
      </w:pPr>
    </w:p>
    <w:p w:rsidR="00663A52" w:rsidRPr="00646F1C" w:rsidRDefault="00663A52" w:rsidP="00663A52">
      <w:pPr>
        <w:contextualSpacing/>
        <w:jc w:val="both"/>
        <w:rPr>
          <w:rFonts w:ascii="Palatino Linotype" w:hAnsi="Palatino Linotype"/>
          <w:b/>
        </w:rPr>
      </w:pPr>
      <w:r w:rsidRPr="00646F1C">
        <w:rPr>
          <w:rFonts w:ascii="Palatino Linotype" w:hAnsi="Palatino Linotype"/>
          <w:b/>
        </w:rPr>
        <w:t>Une expertise reconnue</w:t>
      </w:r>
    </w:p>
    <w:p w:rsidR="00336391" w:rsidRDefault="00336391" w:rsidP="00663A52">
      <w:pPr>
        <w:jc w:val="both"/>
        <w:rPr>
          <w:rFonts w:ascii="Palatino Linotype" w:hAnsi="Palatino Linotype"/>
        </w:rPr>
      </w:pPr>
    </w:p>
    <w:p w:rsidR="00336391" w:rsidRPr="00336391" w:rsidRDefault="00336391" w:rsidP="00336391">
      <w:pPr>
        <w:jc w:val="both"/>
        <w:rPr>
          <w:rFonts w:ascii="Palatino Linotype" w:hAnsi="Palatino Linotype"/>
        </w:rPr>
      </w:pPr>
      <w:r w:rsidRPr="00336391">
        <w:rPr>
          <w:rFonts w:ascii="Palatino Linotype" w:hAnsi="Palatino Linotype"/>
        </w:rPr>
        <w:t>Le Groupe Renault et les écoles du réseau ParisTech, dont l’École des Ponts fait partie, collaborent depuis bientôt 15 ans sur des sujets liés à la mobilité durable avec des problématiques technologiques, économiques, politiques et environnementales complexes.</w:t>
      </w:r>
    </w:p>
    <w:p w:rsidR="00336391" w:rsidRPr="00336391" w:rsidRDefault="00336391" w:rsidP="00336391">
      <w:pPr>
        <w:jc w:val="both"/>
        <w:rPr>
          <w:rFonts w:ascii="Palatino Linotype" w:hAnsi="Palatino Linotype"/>
        </w:rPr>
      </w:pPr>
      <w:r w:rsidRPr="00336391">
        <w:rPr>
          <w:rFonts w:ascii="Palatino Linotype" w:hAnsi="Palatino Linotype"/>
        </w:rPr>
        <w:t xml:space="preserve">Ensemble, ils ont créé deux Masters : Transport et Développement Durable en 2004, Mobilité et Véhicules </w:t>
      </w:r>
      <w:r w:rsidRPr="00336391">
        <w:rPr>
          <w:rFonts w:ascii="Palatino Linotype" w:hAnsi="Palatino Linotype"/>
        </w:rPr>
        <w:t>Électriques</w:t>
      </w:r>
      <w:r w:rsidRPr="00336391">
        <w:rPr>
          <w:rFonts w:ascii="Palatino Linotype" w:hAnsi="Palatino Linotype"/>
        </w:rPr>
        <w:t xml:space="preserve"> en 2010 et l’Institut de la Mobilité Durable (IMD) en 2009, pour accompagner les mutations en cours. Les travaux portent aussi bien sur le déploiement des véhicules électriques que sur l’évolution du métier de constructeur automobile ou le développement des services de mobilité. </w:t>
      </w:r>
    </w:p>
    <w:p w:rsidR="00336391" w:rsidRPr="00336391" w:rsidRDefault="00336391" w:rsidP="00336391">
      <w:pPr>
        <w:jc w:val="both"/>
        <w:rPr>
          <w:rFonts w:ascii="Palatino Linotype" w:hAnsi="Palatino Linotype"/>
        </w:rPr>
      </w:pPr>
      <w:r w:rsidRPr="00336391">
        <w:rPr>
          <w:rFonts w:ascii="Palatino Linotype" w:hAnsi="Palatino Linotype"/>
        </w:rPr>
        <w:t>La création du MOOC s’inscrit dans une volonté d’élargir encore davantage la promotion de la mobilité durable dont les avancées sont certaines et devraient impacter, à long terme, l’ensemble de la société.</w:t>
      </w:r>
    </w:p>
    <w:p w:rsidR="00336391" w:rsidRDefault="00336391" w:rsidP="00663A52">
      <w:pPr>
        <w:spacing w:line="240" w:lineRule="auto"/>
        <w:jc w:val="both"/>
        <w:rPr>
          <w:rFonts w:ascii="Palatino Linotype" w:hAnsi="Palatino Linotype"/>
        </w:rPr>
      </w:pPr>
    </w:p>
    <w:p w:rsidR="00663A52" w:rsidRPr="00336391" w:rsidRDefault="00336391" w:rsidP="00663A52">
      <w:pPr>
        <w:contextualSpacing/>
        <w:jc w:val="center"/>
        <w:rPr>
          <w:rStyle w:val="Lienhypertexte"/>
          <w:rFonts w:ascii="Palatino Linotype" w:hAnsi="Palatino Linotype"/>
          <w:b/>
          <w:sz w:val="28"/>
          <w:szCs w:val="28"/>
        </w:rPr>
      </w:pPr>
      <w:r>
        <w:rPr>
          <w:rFonts w:ascii="Palatino Linotype" w:hAnsi="Palatino Linotype"/>
          <w:b/>
          <w:sz w:val="28"/>
          <w:szCs w:val="28"/>
        </w:rPr>
        <w:fldChar w:fldCharType="begin"/>
      </w:r>
      <w:r>
        <w:rPr>
          <w:rFonts w:ascii="Palatino Linotype" w:hAnsi="Palatino Linotype"/>
          <w:b/>
          <w:sz w:val="28"/>
          <w:szCs w:val="28"/>
        </w:rPr>
        <w:instrText xml:space="preserve"> HYPERLINK "https://www.youtube.com/watch?v=rBIvy6yZ-hs" </w:instrText>
      </w:r>
      <w:r>
        <w:rPr>
          <w:rFonts w:ascii="Palatino Linotype" w:hAnsi="Palatino Linotype"/>
          <w:b/>
          <w:sz w:val="28"/>
          <w:szCs w:val="28"/>
        </w:rPr>
      </w:r>
      <w:r>
        <w:rPr>
          <w:rFonts w:ascii="Palatino Linotype" w:hAnsi="Palatino Linotype"/>
          <w:b/>
          <w:sz w:val="28"/>
          <w:szCs w:val="28"/>
        </w:rPr>
        <w:fldChar w:fldCharType="separate"/>
      </w:r>
      <w:r w:rsidR="00663A52" w:rsidRPr="00336391">
        <w:rPr>
          <w:rStyle w:val="Lienhypertexte"/>
          <w:rFonts w:ascii="Palatino Linotype" w:hAnsi="Palatino Linotype"/>
          <w:b/>
          <w:sz w:val="28"/>
          <w:szCs w:val="28"/>
        </w:rPr>
        <w:t>Découvrir le teaser</w:t>
      </w:r>
    </w:p>
    <w:p w:rsidR="00663A52" w:rsidRDefault="00336391" w:rsidP="00663A52">
      <w:pPr>
        <w:contextualSpacing/>
        <w:jc w:val="center"/>
        <w:rPr>
          <w:rFonts w:ascii="Palatino Linotype" w:hAnsi="Palatino Linotype"/>
          <w:b/>
          <w:color w:val="FF0000"/>
          <w:sz w:val="28"/>
          <w:szCs w:val="28"/>
        </w:rPr>
      </w:pPr>
      <w:r>
        <w:rPr>
          <w:rFonts w:ascii="Palatino Linotype" w:hAnsi="Palatino Linotype"/>
          <w:b/>
          <w:sz w:val="28"/>
          <w:szCs w:val="28"/>
        </w:rPr>
        <w:fldChar w:fldCharType="end"/>
      </w:r>
      <w:hyperlink r:id="rId8" w:history="1">
        <w:r w:rsidR="00663A52" w:rsidRPr="00336391">
          <w:rPr>
            <w:rStyle w:val="Lienhypertexte"/>
            <w:rFonts w:ascii="Palatino Linotype" w:hAnsi="Palatino Linotype"/>
            <w:b/>
            <w:sz w:val="28"/>
            <w:szCs w:val="28"/>
          </w:rPr>
          <w:t>Découvrir le MOOC</w:t>
        </w:r>
      </w:hyperlink>
      <w:r w:rsidR="00663A52">
        <w:rPr>
          <w:rFonts w:ascii="Palatino Linotype" w:hAnsi="Palatino Linotype"/>
          <w:b/>
          <w:color w:val="FF0000"/>
          <w:sz w:val="28"/>
          <w:szCs w:val="28"/>
        </w:rPr>
        <w:t xml:space="preserve"> </w:t>
      </w:r>
    </w:p>
    <w:p w:rsidR="00663A52" w:rsidRPr="009F1F5C" w:rsidRDefault="00663A52" w:rsidP="00663A52">
      <w:pPr>
        <w:contextualSpacing/>
        <w:jc w:val="center"/>
        <w:rPr>
          <w:rFonts w:ascii="Palatino Linotype" w:hAnsi="Palatino Linotype"/>
          <w:b/>
          <w:color w:val="FF0000"/>
          <w:sz w:val="28"/>
          <w:szCs w:val="28"/>
        </w:rPr>
      </w:pPr>
    </w:p>
    <w:tbl>
      <w:tblPr>
        <w:tblStyle w:val="Grilledutableau"/>
        <w:tblW w:w="0" w:type="auto"/>
        <w:tblLook w:val="04A0" w:firstRow="1" w:lastRow="0" w:firstColumn="1" w:lastColumn="0" w:noHBand="0" w:noVBand="1"/>
      </w:tblPr>
      <w:tblGrid>
        <w:gridCol w:w="9062"/>
      </w:tblGrid>
      <w:tr w:rsidR="00663A52" w:rsidTr="00636AA9">
        <w:tc>
          <w:tcPr>
            <w:tcW w:w="9062" w:type="dxa"/>
          </w:tcPr>
          <w:p w:rsidR="00663A52" w:rsidRPr="009F1F5C" w:rsidRDefault="00663A52" w:rsidP="00636AA9">
            <w:pPr>
              <w:contextualSpacing/>
              <w:jc w:val="both"/>
              <w:rPr>
                <w:rFonts w:ascii="Palatino Linotype" w:hAnsi="Palatino Linotype"/>
                <w:sz w:val="18"/>
                <w:szCs w:val="18"/>
              </w:rPr>
            </w:pPr>
            <w:r>
              <w:rPr>
                <w:rFonts w:ascii="Palatino Linotype" w:hAnsi="Palatino Linotype"/>
                <w:b/>
                <w:sz w:val="18"/>
                <w:szCs w:val="18"/>
              </w:rPr>
              <w:t>Les experts</w:t>
            </w:r>
            <w:r w:rsidRPr="0028322E">
              <w:rPr>
                <w:rFonts w:ascii="Palatino Linotype" w:hAnsi="Palatino Linotype"/>
                <w:b/>
                <w:sz w:val="18"/>
                <w:szCs w:val="18"/>
              </w:rPr>
              <w:t> :</w:t>
            </w:r>
            <w:r w:rsidRPr="009B400C">
              <w:rPr>
                <w:rFonts w:ascii="Palatino Linotype" w:hAnsi="Palatino Linotype"/>
                <w:sz w:val="18"/>
                <w:szCs w:val="18"/>
              </w:rPr>
              <w:t xml:space="preserve"> </w:t>
            </w:r>
            <w:r w:rsidRPr="0028322E">
              <w:rPr>
                <w:rFonts w:ascii="Palatino Linotype" w:hAnsi="Palatino Linotype"/>
                <w:i/>
                <w:sz w:val="18"/>
                <w:szCs w:val="18"/>
              </w:rPr>
              <w:t xml:space="preserve">Sébastien Albertus (Renault), Fabienne </w:t>
            </w:r>
            <w:proofErr w:type="spellStart"/>
            <w:r w:rsidRPr="0028322E">
              <w:rPr>
                <w:rFonts w:ascii="Palatino Linotype" w:hAnsi="Palatino Linotype"/>
                <w:i/>
                <w:sz w:val="18"/>
                <w:szCs w:val="18"/>
              </w:rPr>
              <w:t>Anfonso</w:t>
            </w:r>
            <w:proofErr w:type="spellEnd"/>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Ledée</w:t>
            </w:r>
            <w:proofErr w:type="spellEnd"/>
            <w:r w:rsidRPr="0028322E">
              <w:rPr>
                <w:rFonts w:ascii="Palatino Linotype" w:hAnsi="Palatino Linotype"/>
                <w:i/>
                <w:sz w:val="18"/>
                <w:szCs w:val="18"/>
              </w:rPr>
              <w:t xml:space="preserve"> (IFSTTAR - Institut Français des Sciences et Technologies des Transports de l’Aménagement et des Réseaux), François Badin (IFPEN – Institut Français du Pétrole et Énergies Nouvelles), Joseph Beretta (</w:t>
            </w:r>
            <w:proofErr w:type="spellStart"/>
            <w:r w:rsidRPr="0028322E">
              <w:rPr>
                <w:rFonts w:ascii="Palatino Linotype" w:hAnsi="Palatino Linotype"/>
                <w:i/>
                <w:sz w:val="18"/>
                <w:szCs w:val="18"/>
              </w:rPr>
              <w:t>Avere</w:t>
            </w:r>
            <w:proofErr w:type="spellEnd"/>
            <w:r w:rsidRPr="0028322E">
              <w:rPr>
                <w:rFonts w:ascii="Palatino Linotype" w:hAnsi="Palatino Linotype"/>
                <w:i/>
                <w:sz w:val="18"/>
                <w:szCs w:val="18"/>
              </w:rPr>
              <w:t xml:space="preserve">-France), Robert </w:t>
            </w:r>
            <w:proofErr w:type="spellStart"/>
            <w:r w:rsidRPr="0028322E">
              <w:rPr>
                <w:rFonts w:ascii="Palatino Linotype" w:hAnsi="Palatino Linotype"/>
                <w:i/>
                <w:sz w:val="18"/>
                <w:szCs w:val="18"/>
              </w:rPr>
              <w:t>Bonetto</w:t>
            </w:r>
            <w:proofErr w:type="spellEnd"/>
            <w:r w:rsidRPr="0028322E">
              <w:rPr>
                <w:rFonts w:ascii="Palatino Linotype" w:hAnsi="Palatino Linotype"/>
                <w:i/>
                <w:sz w:val="18"/>
                <w:szCs w:val="18"/>
              </w:rPr>
              <w:t xml:space="preserve"> (Renault), Virginie </w:t>
            </w:r>
            <w:proofErr w:type="spellStart"/>
            <w:r w:rsidRPr="0028322E">
              <w:rPr>
                <w:rFonts w:ascii="Palatino Linotype" w:hAnsi="Palatino Linotype"/>
                <w:i/>
                <w:sz w:val="18"/>
                <w:szCs w:val="18"/>
              </w:rPr>
              <w:t>Boutueil</w:t>
            </w:r>
            <w:proofErr w:type="spellEnd"/>
            <w:r w:rsidRPr="0028322E">
              <w:rPr>
                <w:rFonts w:ascii="Palatino Linotype" w:hAnsi="Palatino Linotype"/>
                <w:i/>
                <w:sz w:val="18"/>
                <w:szCs w:val="18"/>
              </w:rPr>
              <w:t xml:space="preserve"> </w:t>
            </w:r>
            <w:r>
              <w:rPr>
                <w:rFonts w:ascii="Palatino Linotype" w:hAnsi="Palatino Linotype"/>
                <w:i/>
                <w:sz w:val="18"/>
                <w:szCs w:val="18"/>
              </w:rPr>
              <w:t>(École des Ponts ParisTech</w:t>
            </w:r>
            <w:r w:rsidRPr="0028322E">
              <w:rPr>
                <w:rFonts w:ascii="Palatino Linotype" w:hAnsi="Palatino Linotype"/>
                <w:i/>
                <w:sz w:val="18"/>
                <w:szCs w:val="18"/>
              </w:rPr>
              <w:t xml:space="preserve">), Stéphane </w:t>
            </w:r>
            <w:proofErr w:type="spellStart"/>
            <w:r w:rsidRPr="0028322E">
              <w:rPr>
                <w:rFonts w:ascii="Palatino Linotype" w:hAnsi="Palatino Linotype"/>
                <w:i/>
                <w:sz w:val="18"/>
                <w:szCs w:val="18"/>
              </w:rPr>
              <w:t>Carcas</w:t>
            </w:r>
            <w:proofErr w:type="spellEnd"/>
            <w:r w:rsidRPr="0028322E">
              <w:rPr>
                <w:rFonts w:ascii="Palatino Linotype" w:hAnsi="Palatino Linotype"/>
                <w:i/>
                <w:sz w:val="18"/>
                <w:szCs w:val="18"/>
              </w:rPr>
              <w:t xml:space="preserve"> (Agence Française de Développement), Marie </w:t>
            </w:r>
            <w:proofErr w:type="spellStart"/>
            <w:r w:rsidRPr="0028322E">
              <w:rPr>
                <w:rFonts w:ascii="Palatino Linotype" w:hAnsi="Palatino Linotype"/>
                <w:i/>
                <w:sz w:val="18"/>
                <w:szCs w:val="18"/>
              </w:rPr>
              <w:t>Castelli</w:t>
            </w:r>
            <w:proofErr w:type="spellEnd"/>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Avere-Frane</w:t>
            </w:r>
            <w:proofErr w:type="spellEnd"/>
            <w:r w:rsidRPr="0028322E">
              <w:rPr>
                <w:rFonts w:ascii="Palatino Linotype" w:hAnsi="Palatino Linotype"/>
                <w:i/>
                <w:sz w:val="18"/>
                <w:szCs w:val="18"/>
              </w:rPr>
              <w:t xml:space="preserve">), François Combes (IFSTTAR), </w:t>
            </w:r>
            <w:r>
              <w:rPr>
                <w:rFonts w:ascii="Palatino Linotype" w:hAnsi="Palatino Linotype"/>
                <w:i/>
                <w:sz w:val="18"/>
                <w:szCs w:val="18"/>
              </w:rPr>
              <w:t xml:space="preserve">Nicolas </w:t>
            </w:r>
            <w:proofErr w:type="spellStart"/>
            <w:r>
              <w:rPr>
                <w:rFonts w:ascii="Palatino Linotype" w:hAnsi="Palatino Linotype"/>
                <w:i/>
                <w:sz w:val="18"/>
                <w:szCs w:val="18"/>
              </w:rPr>
              <w:t>Coulombel</w:t>
            </w:r>
            <w:proofErr w:type="spellEnd"/>
            <w:r>
              <w:rPr>
                <w:rFonts w:ascii="Palatino Linotype" w:hAnsi="Palatino Linotype"/>
                <w:i/>
                <w:sz w:val="18"/>
                <w:szCs w:val="18"/>
              </w:rPr>
              <w:t xml:space="preserve"> (École des Ponts ParisTech</w:t>
            </w:r>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Phi</w:t>
            </w:r>
            <w:r>
              <w:rPr>
                <w:rFonts w:ascii="Palatino Linotype" w:hAnsi="Palatino Linotype"/>
                <w:i/>
                <w:sz w:val="18"/>
                <w:szCs w:val="18"/>
              </w:rPr>
              <w:t>llipe</w:t>
            </w:r>
            <w:proofErr w:type="spellEnd"/>
            <w:r>
              <w:rPr>
                <w:rFonts w:ascii="Palatino Linotype" w:hAnsi="Palatino Linotype"/>
                <w:i/>
                <w:sz w:val="18"/>
                <w:szCs w:val="18"/>
              </w:rPr>
              <w:t xml:space="preserve"> </w:t>
            </w:r>
            <w:proofErr w:type="spellStart"/>
            <w:r>
              <w:rPr>
                <w:rFonts w:ascii="Palatino Linotype" w:hAnsi="Palatino Linotype"/>
                <w:i/>
                <w:sz w:val="18"/>
                <w:szCs w:val="18"/>
              </w:rPr>
              <w:t>Degobert</w:t>
            </w:r>
            <w:proofErr w:type="spellEnd"/>
            <w:r>
              <w:rPr>
                <w:rFonts w:ascii="Palatino Linotype" w:hAnsi="Palatino Linotype"/>
                <w:i/>
                <w:sz w:val="18"/>
                <w:szCs w:val="18"/>
              </w:rPr>
              <w:t xml:space="preserve"> (Arts et Métiers ParisTech</w:t>
            </w:r>
            <w:r w:rsidRPr="0028322E">
              <w:rPr>
                <w:rFonts w:ascii="Palatino Linotype" w:hAnsi="Palatino Linotype"/>
                <w:i/>
                <w:sz w:val="18"/>
                <w:szCs w:val="18"/>
              </w:rPr>
              <w:t xml:space="preserve">), Manon </w:t>
            </w:r>
            <w:proofErr w:type="spellStart"/>
            <w:r w:rsidRPr="0028322E">
              <w:rPr>
                <w:rFonts w:ascii="Palatino Linotype" w:hAnsi="Palatino Linotype"/>
                <w:i/>
                <w:sz w:val="18"/>
                <w:szCs w:val="18"/>
              </w:rPr>
              <w:t>Eskenazi</w:t>
            </w:r>
            <w:proofErr w:type="spellEnd"/>
            <w:r>
              <w:rPr>
                <w:rFonts w:ascii="Palatino Linotype" w:hAnsi="Palatino Linotype"/>
                <w:i/>
                <w:sz w:val="18"/>
                <w:szCs w:val="18"/>
              </w:rPr>
              <w:t xml:space="preserve"> (</w:t>
            </w:r>
            <w:proofErr w:type="spellStart"/>
            <w:r>
              <w:rPr>
                <w:rFonts w:ascii="Palatino Linotype" w:hAnsi="Palatino Linotype"/>
                <w:i/>
                <w:sz w:val="18"/>
                <w:szCs w:val="18"/>
              </w:rPr>
              <w:t>Lab’Urba</w:t>
            </w:r>
            <w:proofErr w:type="spellEnd"/>
            <w:r>
              <w:rPr>
                <w:rFonts w:ascii="Palatino Linotype" w:hAnsi="Palatino Linotype"/>
                <w:i/>
                <w:sz w:val="18"/>
                <w:szCs w:val="18"/>
              </w:rPr>
              <w:t>), Emeric Fortin (École des Ponts ParisTech</w:t>
            </w:r>
            <w:r w:rsidRPr="0028322E">
              <w:rPr>
                <w:rFonts w:ascii="Palatino Linotype" w:hAnsi="Palatino Linotype"/>
                <w:i/>
                <w:sz w:val="18"/>
                <w:szCs w:val="18"/>
              </w:rPr>
              <w:t>)</w:t>
            </w:r>
            <w:r>
              <w:rPr>
                <w:rFonts w:ascii="Palatino Linotype" w:hAnsi="Palatino Linotype"/>
                <w:i/>
                <w:sz w:val="18"/>
                <w:szCs w:val="18"/>
              </w:rPr>
              <w:t>,</w:t>
            </w:r>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Camila</w:t>
            </w:r>
            <w:proofErr w:type="spellEnd"/>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Freitas</w:t>
            </w:r>
            <w:proofErr w:type="spellEnd"/>
            <w:r w:rsidRPr="0028322E">
              <w:rPr>
                <w:rFonts w:ascii="Palatino Linotype" w:hAnsi="Palatino Linotype"/>
                <w:i/>
                <w:sz w:val="18"/>
                <w:szCs w:val="18"/>
              </w:rPr>
              <w:t xml:space="preserve"> (Ministère de l’économie), Amaury </w:t>
            </w:r>
            <w:proofErr w:type="spellStart"/>
            <w:r w:rsidRPr="0028322E">
              <w:rPr>
                <w:rFonts w:ascii="Palatino Linotype" w:hAnsi="Palatino Linotype"/>
                <w:i/>
                <w:sz w:val="18"/>
                <w:szCs w:val="18"/>
              </w:rPr>
              <w:t>Gailliez</w:t>
            </w:r>
            <w:proofErr w:type="spellEnd"/>
            <w:r w:rsidRPr="0028322E">
              <w:rPr>
                <w:rFonts w:ascii="Palatino Linotype" w:hAnsi="Palatino Linotype"/>
                <w:i/>
                <w:sz w:val="18"/>
                <w:szCs w:val="18"/>
              </w:rPr>
              <w:t xml:space="preserve"> (Renault), Bertrand </w:t>
            </w:r>
            <w:proofErr w:type="spellStart"/>
            <w:r w:rsidRPr="0028322E">
              <w:rPr>
                <w:rFonts w:ascii="Palatino Linotype" w:hAnsi="Palatino Linotype"/>
                <w:i/>
                <w:sz w:val="18"/>
                <w:szCs w:val="18"/>
              </w:rPr>
              <w:t>Goualou</w:t>
            </w:r>
            <w:proofErr w:type="spellEnd"/>
            <w:r w:rsidRPr="0028322E">
              <w:rPr>
                <w:rFonts w:ascii="Palatino Linotype" w:hAnsi="Palatino Linotype"/>
                <w:i/>
                <w:sz w:val="18"/>
                <w:szCs w:val="18"/>
              </w:rPr>
              <w:t xml:space="preserve"> (AFD), </w:t>
            </w:r>
            <w:proofErr w:type="spellStart"/>
            <w:r w:rsidRPr="0028322E">
              <w:rPr>
                <w:rFonts w:ascii="Palatino Linotype" w:hAnsi="Palatino Linotype"/>
                <w:i/>
                <w:sz w:val="18"/>
                <w:szCs w:val="18"/>
              </w:rPr>
              <w:t>Jean-Phillipe</w:t>
            </w:r>
            <w:proofErr w:type="spellEnd"/>
            <w:r w:rsidRPr="0028322E">
              <w:rPr>
                <w:rFonts w:ascii="Palatino Linotype" w:hAnsi="Palatino Linotype"/>
                <w:i/>
                <w:sz w:val="18"/>
                <w:szCs w:val="18"/>
              </w:rPr>
              <w:t xml:space="preserve"> Hermine (Renault), Milena </w:t>
            </w:r>
            <w:proofErr w:type="spellStart"/>
            <w:r w:rsidRPr="0028322E">
              <w:rPr>
                <w:rFonts w:ascii="Palatino Linotype" w:hAnsi="Palatino Linotype"/>
                <w:i/>
                <w:sz w:val="18"/>
                <w:szCs w:val="18"/>
              </w:rPr>
              <w:t>Klasing</w:t>
            </w:r>
            <w:proofErr w:type="spellEnd"/>
            <w:r w:rsidRPr="0028322E">
              <w:rPr>
                <w:rFonts w:ascii="Palatino Linotype" w:hAnsi="Palatino Linotype"/>
                <w:i/>
                <w:sz w:val="18"/>
                <w:szCs w:val="18"/>
              </w:rPr>
              <w:t xml:space="preserve"> C</w:t>
            </w:r>
            <w:r>
              <w:rPr>
                <w:rFonts w:ascii="Palatino Linotype" w:hAnsi="Palatino Linotype"/>
                <w:i/>
                <w:sz w:val="18"/>
                <w:szCs w:val="18"/>
              </w:rPr>
              <w:t xml:space="preserve">hen (SNCF), Gaële </w:t>
            </w:r>
            <w:proofErr w:type="spellStart"/>
            <w:r>
              <w:rPr>
                <w:rFonts w:ascii="Palatino Linotype" w:hAnsi="Palatino Linotype"/>
                <w:i/>
                <w:sz w:val="18"/>
                <w:szCs w:val="18"/>
              </w:rPr>
              <w:t>Lesteven</w:t>
            </w:r>
            <w:proofErr w:type="spellEnd"/>
            <w:r>
              <w:rPr>
                <w:rFonts w:ascii="Palatino Linotype" w:hAnsi="Palatino Linotype"/>
                <w:i/>
                <w:sz w:val="18"/>
                <w:szCs w:val="18"/>
              </w:rPr>
              <w:t xml:space="preserve"> (École des Ponts ParisTech), Fabien </w:t>
            </w:r>
            <w:proofErr w:type="spellStart"/>
            <w:r>
              <w:rPr>
                <w:rFonts w:ascii="Palatino Linotype" w:hAnsi="Palatino Linotype"/>
                <w:i/>
                <w:sz w:val="18"/>
                <w:szCs w:val="18"/>
              </w:rPr>
              <w:t>Leurent</w:t>
            </w:r>
            <w:proofErr w:type="spellEnd"/>
            <w:r>
              <w:rPr>
                <w:rFonts w:ascii="Palatino Linotype" w:hAnsi="Palatino Linotype"/>
                <w:i/>
                <w:sz w:val="18"/>
                <w:szCs w:val="18"/>
              </w:rPr>
              <w:t xml:space="preserve"> (École des Ponts ParisTech</w:t>
            </w:r>
            <w:r w:rsidRPr="0028322E">
              <w:rPr>
                <w:rFonts w:ascii="Palatino Linotype" w:hAnsi="Palatino Linotype"/>
                <w:i/>
                <w:sz w:val="18"/>
                <w:szCs w:val="18"/>
              </w:rPr>
              <w:t xml:space="preserve">), Rémi </w:t>
            </w:r>
            <w:proofErr w:type="spellStart"/>
            <w:r w:rsidRPr="0028322E">
              <w:rPr>
                <w:rFonts w:ascii="Palatino Linotype" w:hAnsi="Palatino Linotype"/>
                <w:i/>
                <w:sz w:val="18"/>
                <w:szCs w:val="18"/>
              </w:rPr>
              <w:t>Maniak</w:t>
            </w:r>
            <w:proofErr w:type="spellEnd"/>
            <w:r w:rsidRPr="0028322E">
              <w:rPr>
                <w:rFonts w:ascii="Palatino Linotype" w:hAnsi="Palatino Linotype"/>
                <w:i/>
                <w:sz w:val="18"/>
                <w:szCs w:val="18"/>
              </w:rPr>
              <w:t xml:space="preserve"> (</w:t>
            </w:r>
            <w:r>
              <w:rPr>
                <w:rFonts w:ascii="Palatino Linotype" w:hAnsi="Palatino Linotype"/>
                <w:i/>
                <w:sz w:val="18"/>
                <w:szCs w:val="18"/>
              </w:rPr>
              <w:t>École p</w:t>
            </w:r>
            <w:r w:rsidRPr="0028322E">
              <w:rPr>
                <w:rFonts w:ascii="Palatino Linotype" w:hAnsi="Palatino Linotype"/>
                <w:i/>
                <w:sz w:val="18"/>
                <w:szCs w:val="18"/>
              </w:rPr>
              <w:t xml:space="preserve">olytechnique), Marie-Hélène </w:t>
            </w:r>
            <w:proofErr w:type="spellStart"/>
            <w:r w:rsidRPr="0028322E">
              <w:rPr>
                <w:rFonts w:ascii="Palatino Linotype" w:hAnsi="Palatino Linotype"/>
                <w:i/>
                <w:sz w:val="18"/>
                <w:szCs w:val="18"/>
              </w:rPr>
              <w:t>Massot</w:t>
            </w:r>
            <w:proofErr w:type="spellEnd"/>
            <w:r w:rsidRPr="0028322E">
              <w:rPr>
                <w:rFonts w:ascii="Palatino Linotype" w:hAnsi="Palatino Linotype"/>
                <w:i/>
                <w:sz w:val="18"/>
                <w:szCs w:val="18"/>
              </w:rPr>
              <w:t xml:space="preserve"> (</w:t>
            </w:r>
            <w:proofErr w:type="spellStart"/>
            <w:r w:rsidRPr="0028322E">
              <w:rPr>
                <w:rFonts w:ascii="Palatino Linotype" w:hAnsi="Palatino Linotype"/>
                <w:i/>
                <w:sz w:val="18"/>
                <w:szCs w:val="18"/>
              </w:rPr>
              <w:t>Lab’Urba</w:t>
            </w:r>
            <w:proofErr w:type="spellEnd"/>
            <w:r w:rsidRPr="0028322E">
              <w:rPr>
                <w:rFonts w:ascii="Palatino Linotype" w:hAnsi="Palatino Linotype"/>
                <w:i/>
                <w:sz w:val="18"/>
                <w:szCs w:val="18"/>
              </w:rPr>
              <w:t xml:space="preserve">), Paul </w:t>
            </w:r>
            <w:proofErr w:type="spellStart"/>
            <w:r w:rsidRPr="0028322E">
              <w:rPr>
                <w:rFonts w:ascii="Palatino Linotype" w:hAnsi="Palatino Linotype"/>
                <w:i/>
                <w:sz w:val="18"/>
                <w:szCs w:val="18"/>
              </w:rPr>
              <w:t>Ricaud</w:t>
            </w:r>
            <w:proofErr w:type="spellEnd"/>
            <w:r w:rsidRPr="0028322E">
              <w:rPr>
                <w:rFonts w:ascii="Palatino Linotype" w:hAnsi="Palatino Linotype"/>
                <w:i/>
                <w:sz w:val="18"/>
                <w:szCs w:val="18"/>
              </w:rPr>
              <w:t xml:space="preserve"> (Renault), Nicolas </w:t>
            </w:r>
            <w:proofErr w:type="spellStart"/>
            <w:r w:rsidRPr="0028322E">
              <w:rPr>
                <w:rFonts w:ascii="Palatino Linotype" w:hAnsi="Palatino Linotype"/>
                <w:i/>
                <w:sz w:val="18"/>
                <w:szCs w:val="18"/>
              </w:rPr>
              <w:t>Shottey</w:t>
            </w:r>
            <w:proofErr w:type="spellEnd"/>
            <w:r w:rsidRPr="0028322E">
              <w:rPr>
                <w:rFonts w:ascii="Palatino Linotype" w:hAnsi="Palatino Linotype"/>
                <w:i/>
                <w:sz w:val="18"/>
                <w:szCs w:val="18"/>
              </w:rPr>
              <w:t xml:space="preserve"> (Renault), Laurent T</w:t>
            </w:r>
            <w:r>
              <w:rPr>
                <w:rFonts w:ascii="Palatino Linotype" w:hAnsi="Palatino Linotype"/>
                <w:i/>
                <w:sz w:val="18"/>
                <w:szCs w:val="18"/>
              </w:rPr>
              <w:t xml:space="preserve">opin (Renault), Hélène </w:t>
            </w:r>
            <w:proofErr w:type="spellStart"/>
            <w:r>
              <w:rPr>
                <w:rFonts w:ascii="Palatino Linotype" w:hAnsi="Palatino Linotype"/>
                <w:i/>
                <w:sz w:val="18"/>
                <w:szCs w:val="18"/>
              </w:rPr>
              <w:t>Teulon</w:t>
            </w:r>
            <w:proofErr w:type="spellEnd"/>
            <w:r>
              <w:rPr>
                <w:rFonts w:ascii="Palatino Linotype" w:hAnsi="Palatino Linotype"/>
                <w:i/>
                <w:sz w:val="18"/>
                <w:szCs w:val="18"/>
              </w:rPr>
              <w:t xml:space="preserve"> (École p</w:t>
            </w:r>
            <w:r w:rsidRPr="0028322E">
              <w:rPr>
                <w:rFonts w:ascii="Palatino Linotype" w:hAnsi="Palatino Linotype"/>
                <w:i/>
                <w:sz w:val="18"/>
                <w:szCs w:val="18"/>
              </w:rPr>
              <w:t>oly</w:t>
            </w:r>
            <w:r>
              <w:rPr>
                <w:rFonts w:ascii="Palatino Linotype" w:hAnsi="Palatino Linotype"/>
                <w:i/>
                <w:sz w:val="18"/>
                <w:szCs w:val="18"/>
              </w:rPr>
              <w:t>technique), Mallory Trouvé (École des Ponts ParisTech</w:t>
            </w:r>
            <w:r w:rsidRPr="0028322E">
              <w:rPr>
                <w:rFonts w:ascii="Palatino Linotype" w:hAnsi="Palatino Linotype"/>
                <w:i/>
                <w:sz w:val="18"/>
                <w:szCs w:val="18"/>
              </w:rPr>
              <w:t xml:space="preserve">), Adrien Vogt </w:t>
            </w:r>
            <w:proofErr w:type="spellStart"/>
            <w:r w:rsidRPr="0028322E">
              <w:rPr>
                <w:rFonts w:ascii="Palatino Linotype" w:hAnsi="Palatino Linotype"/>
                <w:i/>
                <w:sz w:val="18"/>
                <w:szCs w:val="18"/>
              </w:rPr>
              <w:t>Schilb</w:t>
            </w:r>
            <w:proofErr w:type="spellEnd"/>
            <w:r w:rsidRPr="0028322E">
              <w:rPr>
                <w:rFonts w:ascii="Palatino Linotype" w:hAnsi="Palatino Linotype"/>
                <w:i/>
                <w:sz w:val="18"/>
                <w:szCs w:val="18"/>
              </w:rPr>
              <w:t xml:space="preserve"> (Banque interaméricaine du développement).</w:t>
            </w:r>
          </w:p>
        </w:tc>
      </w:tr>
    </w:tbl>
    <w:p w:rsidR="00B764E2" w:rsidRDefault="00B764E2" w:rsidP="009F0377">
      <w:pPr>
        <w:jc w:val="both"/>
      </w:pPr>
    </w:p>
    <w:sectPr w:rsidR="00B764E2" w:rsidSect="0033639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8A"/>
    <w:rsid w:val="00302B8A"/>
    <w:rsid w:val="00336391"/>
    <w:rsid w:val="00450D4F"/>
    <w:rsid w:val="0063668D"/>
    <w:rsid w:val="00663A52"/>
    <w:rsid w:val="00666034"/>
    <w:rsid w:val="009F0377"/>
    <w:rsid w:val="00B764E2"/>
    <w:rsid w:val="00CD0A0A"/>
    <w:rsid w:val="00D953F1"/>
    <w:rsid w:val="00E2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7689"/>
  <w15:chartTrackingRefBased/>
  <w15:docId w15:val="{2C7A4E92-37A8-49BE-BCC8-66E6A90F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8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2B8A"/>
    <w:rPr>
      <w:color w:val="0563C1" w:themeColor="hyperlink"/>
      <w:u w:val="single"/>
    </w:rPr>
  </w:style>
  <w:style w:type="table" w:styleId="Grilledutableau">
    <w:name w:val="Table Grid"/>
    <w:basedOn w:val="TableauNormal"/>
    <w:uiPriority w:val="39"/>
    <w:rsid w:val="00663A52"/>
    <w:pPr>
      <w:spacing w:after="0" w:line="240" w:lineRule="auto"/>
    </w:pPr>
    <w:rPr>
      <w:rFonts w:ascii="Calibri" w:eastAsia="Calibri" w:hAnsi="Calibri"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oursera.org/learn/mobilites-vehicules-electriques"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PRIOLEAU Marie-Pierre</dc:creator>
  <cp:keywords/>
  <dc:description/>
  <cp:lastModifiedBy>Emeric FORTIN</cp:lastModifiedBy>
  <cp:revision>3</cp:revision>
  <dcterms:created xsi:type="dcterms:W3CDTF">2020-03-26T14:25:00Z</dcterms:created>
  <dcterms:modified xsi:type="dcterms:W3CDTF">2020-03-26T14:44:00Z</dcterms:modified>
</cp:coreProperties>
</file>